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67DABE0"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554016">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6D5585">
        <w:rPr>
          <w:rFonts w:cs="Arial"/>
          <w:color w:val="000000"/>
          <w:sz w:val="24"/>
          <w:szCs w:val="24"/>
        </w:rPr>
        <w:t>5186</w:t>
      </w:r>
    </w:p>
    <w:p w14:paraId="2700B07E" w14:textId="5F881AB9" w:rsidR="003175E3" w:rsidRPr="00C51EC1" w:rsidRDefault="00554016" w:rsidP="003175E3">
      <w:pPr>
        <w:pStyle w:val="Header"/>
        <w:rPr>
          <w:rFonts w:eastAsia="SimSun"/>
          <w:sz w:val="24"/>
          <w:szCs w:val="24"/>
          <w:lang w:eastAsia="zh-CN"/>
        </w:rPr>
      </w:pPr>
      <w:r>
        <w:rPr>
          <w:rFonts w:eastAsia="SimSun"/>
          <w:sz w:val="24"/>
          <w:szCs w:val="24"/>
          <w:lang w:eastAsia="zh-CN"/>
        </w:rPr>
        <w:t>Reno, NV, USA, 18 – 22 November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803EDE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D5585">
        <w:rPr>
          <w:rFonts w:ascii="Arial" w:hAnsi="Arial"/>
          <w:sz w:val="24"/>
          <w:lang w:val="en-US"/>
        </w:rPr>
        <w:t>9.8.2.4</w:t>
      </w:r>
      <w:bookmarkStart w:id="0" w:name="_GoBack"/>
      <w:bookmarkEnd w:id="0"/>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4DBD53C"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6155">
        <w:rPr>
          <w:rFonts w:ascii="Arial" w:hAnsi="Arial"/>
          <w:sz w:val="24"/>
          <w:lang w:val="en-US"/>
        </w:rPr>
        <w:t xml:space="preserve">On </w:t>
      </w:r>
      <w:r w:rsidR="00FC1B9C">
        <w:rPr>
          <w:rFonts w:ascii="Arial" w:hAnsi="Arial"/>
          <w:sz w:val="24"/>
          <w:lang w:val="en-US"/>
        </w:rPr>
        <w:t>reference point for timing related measurements in FR2</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385F99B3" w:rsidR="00804DAC" w:rsidRDefault="008F7AB6" w:rsidP="00804DAC">
      <w:pPr>
        <w:rPr>
          <w:lang w:val="en-US"/>
        </w:rPr>
      </w:pPr>
      <w:r>
        <w:rPr>
          <w:lang w:val="en-US"/>
        </w:rPr>
        <w:t>In the RAN4#92</w:t>
      </w:r>
      <w:r w:rsidR="00554016">
        <w:rPr>
          <w:lang w:val="en-US"/>
        </w:rPr>
        <w:t>-Bis</w:t>
      </w:r>
      <w:r>
        <w:rPr>
          <w:lang w:val="en-US"/>
        </w:rPr>
        <w:t xml:space="preserve"> meeting, reference point for timing related measurements in FR2 was</w:t>
      </w:r>
      <w:r w:rsidR="00554016">
        <w:rPr>
          <w:lang w:val="en-US"/>
        </w:rPr>
        <w:t xml:space="preserve"> again</w:t>
      </w:r>
      <w:r>
        <w:rPr>
          <w:lang w:val="en-US"/>
        </w:rPr>
        <w:t xml:space="preserve"> extensively discussed but no agreement was reached. The discussion was in response to an LS from RAN1</w:t>
      </w:r>
      <w:r w:rsidR="00554016">
        <w:rPr>
          <w:lang w:val="en-US"/>
        </w:rPr>
        <w:t xml:space="preserve"> [1]. The meeting minutes of the Ad-hoc session related to this topic are as follows:</w:t>
      </w:r>
    </w:p>
    <w:p w14:paraId="728D1ABB" w14:textId="11F5B450" w:rsidR="008F7AB6" w:rsidRDefault="008F7AB6" w:rsidP="00804DAC">
      <w:pPr>
        <w:rPr>
          <w:lang w:val="en-US"/>
        </w:rPr>
      </w:pPr>
      <w:r w:rsidRPr="0074147F">
        <w:rPr>
          <w:noProof/>
          <w:lang w:val="en-US" w:eastAsia="zh-CN"/>
        </w:rPr>
        <mc:AlternateContent>
          <mc:Choice Requires="wps">
            <w:drawing>
              <wp:inline distT="0" distB="0" distL="0" distR="0" wp14:anchorId="7D1CBD1B" wp14:editId="6CBDE7C7">
                <wp:extent cx="6078220" cy="1400175"/>
                <wp:effectExtent l="0" t="0" r="1778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00175"/>
                        </a:xfrm>
                        <a:prstGeom prst="rect">
                          <a:avLst/>
                        </a:prstGeom>
                        <a:solidFill>
                          <a:srgbClr val="FFFFFF"/>
                        </a:solidFill>
                        <a:ln w="9525">
                          <a:solidFill>
                            <a:srgbClr val="000000"/>
                          </a:solidFill>
                          <a:miter lim="800000"/>
                          <a:headEnd/>
                          <a:tailEnd/>
                        </a:ln>
                      </wps:spPr>
                      <wps:txbx>
                        <w:txbxContent>
                          <w:p w14:paraId="2C8AC974" w14:textId="77777777" w:rsidR="00974060" w:rsidRDefault="00974060" w:rsidP="00974060">
                            <w:pPr>
                              <w:pStyle w:val="BodyText"/>
                              <w:rPr>
                                <w:b/>
                                <w:sz w:val="20"/>
                              </w:rPr>
                            </w:pPr>
                            <w:r w:rsidRPr="00851E7B">
                              <w:rPr>
                                <w:b/>
                                <w:sz w:val="20"/>
                              </w:rPr>
                              <w:t>Agreements:</w:t>
                            </w:r>
                          </w:p>
                          <w:p w14:paraId="56E27F26" w14:textId="77777777" w:rsidR="00974060" w:rsidRPr="00851E7B" w:rsidRDefault="00974060" w:rsidP="00974060">
                            <w:pPr>
                              <w:pStyle w:val="BodyText"/>
                              <w:rPr>
                                <w:b/>
                                <w:sz w:val="20"/>
                              </w:rPr>
                            </w:pPr>
                          </w:p>
                          <w:p w14:paraId="4A34C2B9" w14:textId="77777777" w:rsidR="00974060" w:rsidRPr="00974060" w:rsidRDefault="00974060" w:rsidP="00974060">
                            <w:pPr>
                              <w:pStyle w:val="BodyText"/>
                              <w:rPr>
                                <w:b/>
                                <w:bCs/>
                                <w:sz w:val="20"/>
                                <w:szCs w:val="16"/>
                              </w:rPr>
                            </w:pPr>
                            <w:r w:rsidRPr="00974060">
                              <w:rPr>
                                <w:b/>
                                <w:bCs/>
                                <w:sz w:val="20"/>
                                <w:szCs w:val="16"/>
                              </w:rPr>
                              <w:t>Issues to consider for analyzing reference point for UE Rx or Tx measurement:</w:t>
                            </w:r>
                          </w:p>
                          <w:p w14:paraId="651F1EF4" w14:textId="77777777" w:rsidR="00974060" w:rsidRPr="00974060" w:rsidRDefault="00974060" w:rsidP="00974060">
                            <w:pPr>
                              <w:pStyle w:val="BodyText"/>
                              <w:widowControl/>
                              <w:numPr>
                                <w:ilvl w:val="0"/>
                                <w:numId w:val="36"/>
                              </w:numPr>
                              <w:spacing w:after="0"/>
                              <w:rPr>
                                <w:b/>
                                <w:bCs/>
                                <w:sz w:val="20"/>
                                <w:szCs w:val="16"/>
                              </w:rPr>
                            </w:pPr>
                            <w:r w:rsidRPr="00974060">
                              <w:rPr>
                                <w:b/>
                                <w:bCs/>
                                <w:sz w:val="20"/>
                                <w:szCs w:val="16"/>
                              </w:rPr>
                              <w:t>Reliability of calibration for the delay between the baseband modem and the RF part</w:t>
                            </w:r>
                          </w:p>
                          <w:p w14:paraId="75F3581F" w14:textId="77777777" w:rsidR="00974060" w:rsidRPr="00974060" w:rsidRDefault="00974060" w:rsidP="00974060">
                            <w:pPr>
                              <w:pStyle w:val="BodyText"/>
                              <w:widowControl/>
                              <w:numPr>
                                <w:ilvl w:val="0"/>
                                <w:numId w:val="36"/>
                              </w:numPr>
                              <w:spacing w:after="0"/>
                              <w:rPr>
                                <w:b/>
                                <w:bCs/>
                                <w:sz w:val="20"/>
                                <w:szCs w:val="16"/>
                              </w:rPr>
                            </w:pPr>
                            <w:r w:rsidRPr="00974060">
                              <w:rPr>
                                <w:b/>
                                <w:bCs/>
                                <w:sz w:val="20"/>
                                <w:szCs w:val="16"/>
                              </w:rPr>
                              <w:t xml:space="preserve">Form factor of the UE need to be considered. </w:t>
                            </w:r>
                          </w:p>
                          <w:p w14:paraId="1388832B" w14:textId="77777777" w:rsidR="00974060" w:rsidRDefault="00974060" w:rsidP="00974060">
                            <w:pPr>
                              <w:pStyle w:val="BodyText"/>
                              <w:rPr>
                                <w:b/>
                                <w:sz w:val="28"/>
                                <w:szCs w:val="28"/>
                              </w:rPr>
                            </w:pPr>
                          </w:p>
                          <w:p w14:paraId="32F1C686" w14:textId="77777777" w:rsidR="008F7AB6" w:rsidRPr="009C5EB9" w:rsidRDefault="008F7AB6" w:rsidP="008F7AB6">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D1CBD1B" id="_x0000_t202" coordsize="21600,21600" o:spt="202" path="m,l,21600r21600,l21600,xe">
                <v:stroke joinstyle="miter"/>
                <v:path gradientshapeok="t" o:connecttype="rect"/>
              </v:shapetype>
              <v:shape id="Text Box 1" o:spid="_x0000_s1026" type="#_x0000_t202" style="width:478.6pt;height:1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">
                <v:textbox>
                  <w:txbxContent>
                    <w:p w14:paraId="2C8AC974" w14:textId="77777777" w:rsidR="00974060" w:rsidRDefault="00974060" w:rsidP="00974060">
                      <w:pPr>
                        <w:pStyle w:val="BodyText"/>
                        <w:rPr>
                          <w:b/>
                          <w:sz w:val="20"/>
                        </w:rPr>
                      </w:pPr>
                      <w:r w:rsidRPr="00851E7B">
                        <w:rPr>
                          <w:b/>
                          <w:sz w:val="20"/>
                        </w:rPr>
                        <w:t>Agreements:</w:t>
                      </w:r>
                    </w:p>
                    <w:p w14:paraId="56E27F26" w14:textId="77777777" w:rsidR="00974060" w:rsidRPr="00851E7B" w:rsidRDefault="00974060" w:rsidP="00974060">
                      <w:pPr>
                        <w:pStyle w:val="BodyText"/>
                        <w:rPr>
                          <w:b/>
                          <w:sz w:val="20"/>
                        </w:rPr>
                      </w:pPr>
                    </w:p>
                    <w:p w14:paraId="4A34C2B9" w14:textId="77777777" w:rsidR="00974060" w:rsidRPr="00974060" w:rsidRDefault="00974060" w:rsidP="00974060">
                      <w:pPr>
                        <w:pStyle w:val="BodyText"/>
                        <w:rPr>
                          <w:b/>
                          <w:bCs/>
                          <w:sz w:val="20"/>
                          <w:szCs w:val="16"/>
                        </w:rPr>
                      </w:pPr>
                      <w:r w:rsidRPr="00974060">
                        <w:rPr>
                          <w:b/>
                          <w:bCs/>
                          <w:sz w:val="20"/>
                          <w:szCs w:val="16"/>
                        </w:rPr>
                        <w:t>Issues to consider for analyzing reference point for UE Rx or Tx measurement:</w:t>
                      </w:r>
                    </w:p>
                    <w:p w14:paraId="651F1EF4" w14:textId="77777777" w:rsidR="00974060" w:rsidRPr="00974060" w:rsidRDefault="00974060" w:rsidP="00974060">
                      <w:pPr>
                        <w:pStyle w:val="BodyText"/>
                        <w:widowControl/>
                        <w:numPr>
                          <w:ilvl w:val="0"/>
                          <w:numId w:val="36"/>
                        </w:numPr>
                        <w:spacing w:after="0"/>
                        <w:rPr>
                          <w:b/>
                          <w:bCs/>
                          <w:sz w:val="20"/>
                          <w:szCs w:val="16"/>
                        </w:rPr>
                      </w:pPr>
                      <w:r w:rsidRPr="00974060">
                        <w:rPr>
                          <w:b/>
                          <w:bCs/>
                          <w:sz w:val="20"/>
                          <w:szCs w:val="16"/>
                        </w:rPr>
                        <w:t>Reliability of calibration for the delay between the baseband modem and the RF part</w:t>
                      </w:r>
                    </w:p>
                    <w:p w14:paraId="75F3581F" w14:textId="77777777" w:rsidR="00974060" w:rsidRPr="00974060" w:rsidRDefault="00974060" w:rsidP="00974060">
                      <w:pPr>
                        <w:pStyle w:val="BodyText"/>
                        <w:widowControl/>
                        <w:numPr>
                          <w:ilvl w:val="0"/>
                          <w:numId w:val="36"/>
                        </w:numPr>
                        <w:spacing w:after="0"/>
                        <w:rPr>
                          <w:b/>
                          <w:bCs/>
                          <w:sz w:val="20"/>
                          <w:szCs w:val="16"/>
                        </w:rPr>
                      </w:pPr>
                      <w:r w:rsidRPr="00974060">
                        <w:rPr>
                          <w:b/>
                          <w:bCs/>
                          <w:sz w:val="20"/>
                          <w:szCs w:val="16"/>
                        </w:rPr>
                        <w:t xml:space="preserve">Form factor of the UE need to be considered. </w:t>
                      </w:r>
                    </w:p>
                    <w:p w14:paraId="1388832B" w14:textId="77777777" w:rsidR="00974060" w:rsidRDefault="00974060" w:rsidP="00974060">
                      <w:pPr>
                        <w:pStyle w:val="BodyText"/>
                        <w:rPr>
                          <w:b/>
                          <w:sz w:val="28"/>
                          <w:szCs w:val="28"/>
                        </w:rPr>
                      </w:pPr>
                    </w:p>
                    <w:p w14:paraId="32F1C686" w14:textId="77777777" w:rsidR="008F7AB6" w:rsidRPr="009C5EB9" w:rsidRDefault="008F7AB6" w:rsidP="008F7AB6">
                      <w:pPr>
                        <w:rPr>
                          <w:rFonts w:eastAsia="Batang"/>
                          <w:b/>
                          <w:lang w:eastAsia="zh-CN"/>
                        </w:rPr>
                      </w:pPr>
                    </w:p>
                  </w:txbxContent>
                </v:textbox>
                <w10:anchorlock/>
              </v:shape>
            </w:pict>
          </mc:Fallback>
        </mc:AlternateContent>
      </w:r>
    </w:p>
    <w:p w14:paraId="1A132493" w14:textId="4A9EE40E" w:rsidR="006677AA" w:rsidRPr="00804DAC" w:rsidRDefault="006677AA" w:rsidP="00804DAC">
      <w:pPr>
        <w:rPr>
          <w:lang w:val="en-US"/>
        </w:rPr>
      </w:pPr>
      <w:r>
        <w:rPr>
          <w:lang w:val="en-US"/>
        </w:rPr>
        <w:t xml:space="preserve">In this paper, we reiterate our views on this topic and </w:t>
      </w:r>
      <w:r w:rsidR="00974060">
        <w:rPr>
          <w:lang w:val="en-US"/>
        </w:rPr>
        <w:t>present some analysis on the delay calibration</w:t>
      </w:r>
      <w:r>
        <w:rPr>
          <w:lang w:val="en-US"/>
        </w:rPr>
        <w:t xml:space="preserve">. </w:t>
      </w:r>
    </w:p>
    <w:p w14:paraId="2D0D5189" w14:textId="001943BF" w:rsidR="00C51EC1" w:rsidRDefault="006677AA" w:rsidP="00C51EC1">
      <w:pPr>
        <w:pStyle w:val="Heading1"/>
        <w:rPr>
          <w:lang w:val="en-US"/>
        </w:rPr>
      </w:pPr>
      <w:r>
        <w:rPr>
          <w:lang w:val="en-US"/>
        </w:rPr>
        <w:t>Discussion</w:t>
      </w:r>
    </w:p>
    <w:p w14:paraId="6448B3D3" w14:textId="065BA711" w:rsidR="006677AA" w:rsidRDefault="006E4744" w:rsidP="006677AA">
      <w:pPr>
        <w:rPr>
          <w:lang w:val="en-US"/>
        </w:rPr>
      </w:pPr>
      <w:r>
        <w:rPr>
          <w:lang w:val="en-US"/>
        </w:rPr>
        <w:t>As mentioned in our previous paper [3] and also stated in [4], the rationale behind defining the reference point for RSRP/RSRQ/SINR measurements in FR2 as the combined signal from antenna elements is to ensure that such measurements capture the analog beamforming gain from combining across antenna elements. In other words, UE is reporting such measurements as it experiences them. For instance, UE</w:t>
      </w:r>
      <w:r w:rsidRPr="006E4744">
        <w:rPr>
          <w:vertAlign w:val="subscript"/>
          <w:lang w:val="en-US"/>
        </w:rPr>
        <w:t>1</w:t>
      </w:r>
      <w:r>
        <w:rPr>
          <w:lang w:val="en-US"/>
        </w:rPr>
        <w:t xml:space="preserve"> with twice as many antenna elements in a panel as UE</w:t>
      </w:r>
      <w:r w:rsidRPr="006E4744">
        <w:rPr>
          <w:vertAlign w:val="subscript"/>
          <w:lang w:val="en-US"/>
        </w:rPr>
        <w:t>2</w:t>
      </w:r>
      <w:r>
        <w:rPr>
          <w:lang w:val="en-US"/>
        </w:rPr>
        <w:t xml:space="preserve"> can report an RSRP measurement to be approximately 3 dB higher for the same received signal compared to what UE</w:t>
      </w:r>
      <w:r w:rsidR="00416721">
        <w:rPr>
          <w:vertAlign w:val="subscript"/>
          <w:lang w:val="en-US"/>
        </w:rPr>
        <w:t>2</w:t>
      </w:r>
      <w:r>
        <w:rPr>
          <w:vertAlign w:val="subscript"/>
          <w:lang w:val="en-US"/>
        </w:rPr>
        <w:t xml:space="preserve"> </w:t>
      </w:r>
      <w:r w:rsidR="00416721">
        <w:rPr>
          <w:vertAlign w:val="subscript"/>
          <w:lang w:val="en-US"/>
        </w:rPr>
        <w:t xml:space="preserve"> </w:t>
      </w:r>
      <w:r>
        <w:rPr>
          <w:lang w:val="en-US"/>
        </w:rPr>
        <w:t xml:space="preserve">measures. This is logical as measurements such as RSRP/RSRQ/SINR are </w:t>
      </w:r>
      <w:r w:rsidRPr="006E4744">
        <w:rPr>
          <w:b/>
          <w:bCs/>
          <w:u w:val="single"/>
          <w:lang w:val="en-US"/>
        </w:rPr>
        <w:t>subjective</w:t>
      </w:r>
      <w:r>
        <w:rPr>
          <w:lang w:val="en-US"/>
        </w:rPr>
        <w:t xml:space="preserve"> measurements and reflect the UE implementation realities. </w:t>
      </w:r>
    </w:p>
    <w:p w14:paraId="0524F2F9" w14:textId="68A29F2C" w:rsidR="00504BB8" w:rsidRPr="00504BB8" w:rsidRDefault="00504BB8" w:rsidP="006677AA">
      <w:pPr>
        <w:rPr>
          <w:b/>
          <w:bCs/>
          <w:lang w:val="en-US"/>
        </w:rPr>
      </w:pPr>
      <w:r w:rsidRPr="00504BB8">
        <w:rPr>
          <w:b/>
          <w:bCs/>
          <w:lang w:val="en-US"/>
        </w:rPr>
        <w:t xml:space="preserve">Observation 1. RSRP/RSRQ/SINR measurements are subjective measurements that should reflect the UE implementation realities such as antenna gain, number of antenna elements, or beamforming.  </w:t>
      </w:r>
    </w:p>
    <w:p w14:paraId="14C70150" w14:textId="41C13772" w:rsidR="00416721" w:rsidRDefault="00416721" w:rsidP="006677AA">
      <w:pPr>
        <w:rPr>
          <w:lang w:val="en-US"/>
        </w:rPr>
      </w:pPr>
      <w:r>
        <w:rPr>
          <w:lang w:val="en-US"/>
        </w:rPr>
        <w:t xml:space="preserve">In contrast, for the intents and purposes of positioning, the time of arrival at the antenna is the metric of interest rather than combined energy or power. Timing measurements are </w:t>
      </w:r>
      <w:r w:rsidRPr="00416721">
        <w:rPr>
          <w:b/>
          <w:bCs/>
          <w:u w:val="single"/>
          <w:lang w:val="en-US"/>
        </w:rPr>
        <w:t>objective</w:t>
      </w:r>
      <w:r>
        <w:rPr>
          <w:lang w:val="en-US"/>
        </w:rPr>
        <w:t xml:space="preserve"> and should not depend on the UE implementation aspects. Referring to the example above, if both UE</w:t>
      </w:r>
      <w:r w:rsidRPr="006E4744">
        <w:rPr>
          <w:vertAlign w:val="subscript"/>
          <w:lang w:val="en-US"/>
        </w:rPr>
        <w:t>1</w:t>
      </w:r>
      <w:r>
        <w:rPr>
          <w:vertAlign w:val="subscript"/>
          <w:lang w:val="en-US"/>
        </w:rPr>
        <w:t xml:space="preserve"> </w:t>
      </w:r>
      <w:r>
        <w:rPr>
          <w:lang w:val="en-US"/>
        </w:rPr>
        <w:t>and UE</w:t>
      </w:r>
      <w:r>
        <w:rPr>
          <w:vertAlign w:val="subscript"/>
          <w:lang w:val="en-US"/>
        </w:rPr>
        <w:t xml:space="preserve">2 </w:t>
      </w:r>
      <w:r>
        <w:rPr>
          <w:lang w:val="en-US"/>
        </w:rPr>
        <w:t xml:space="preserve">are placed in the same position with respect to one or more gNBs, they should ideally report identical timing measurement(s) regardless of their antenna arrays, beamforming gains, or other implementation practicalities.  </w:t>
      </w:r>
    </w:p>
    <w:p w14:paraId="2C78EFCD" w14:textId="61A5D3BC" w:rsidR="00504BB8" w:rsidRDefault="00504BB8" w:rsidP="006677AA">
      <w:pPr>
        <w:rPr>
          <w:b/>
          <w:bCs/>
          <w:lang w:val="en-US"/>
        </w:rPr>
      </w:pPr>
      <w:r w:rsidRPr="00504BB8">
        <w:rPr>
          <w:b/>
          <w:bCs/>
          <w:lang w:val="en-US"/>
        </w:rPr>
        <w:t xml:space="preserve">Observation 2. Timing measurements are objective measurements and should not depend on the UE implementation aspects. Two UE’s with different antenna or beamforming gains should ideally report identical timing measurements if placed in the same position with respect to gNB(s). </w:t>
      </w:r>
    </w:p>
    <w:p w14:paraId="31B8C663" w14:textId="0C28EB14" w:rsidR="00E84478" w:rsidRDefault="00E84478" w:rsidP="006677AA">
      <w:pPr>
        <w:rPr>
          <w:lang w:val="en-US"/>
        </w:rPr>
      </w:pPr>
      <w:r>
        <w:rPr>
          <w:lang w:val="en-US"/>
        </w:rPr>
        <w:t>Calibration of delay from antenna to baseband module is not new to FR2. This issue existed even in LTE and did not prevent the reference point from being defined at the antenna connector despite the actual measurement being performed in the baseband. In our view, FR2 should not be any different. The level of calibration required depends on the accuracy requirements and UE form factor. The travelling speed of the electromagnetic wave in good dielectrics is given by</w:t>
      </w:r>
    </w:p>
    <w:p w14:paraId="18CF26CD" w14:textId="66C18444" w:rsidR="00E84478" w:rsidRPr="00E84478" w:rsidRDefault="00E84478" w:rsidP="006677AA">
      <w:pPr>
        <w:rPr>
          <w:lang w:val="en-US"/>
        </w:rPr>
      </w:pPr>
      <m:oMathPara>
        <m:oMath>
          <m:r>
            <w:rPr>
              <w:rFonts w:ascii="Cambria Math" w:hAnsi="Cambria Math"/>
              <w:lang w:val="en-US"/>
            </w:rPr>
            <w:lastRenderedPageBreak/>
            <m:t xml:space="preserve">v= </m:t>
          </m:r>
          <m:f>
            <m:fPr>
              <m:ctrlPr>
                <w:rPr>
                  <w:rFonts w:ascii="Cambria Math" w:hAnsi="Cambria Math"/>
                  <w:i/>
                  <w:lang w:val="en-US"/>
                </w:rPr>
              </m:ctrlPr>
            </m:fPr>
            <m:num>
              <m:r>
                <w:rPr>
                  <w:rFonts w:ascii="Cambria Math" w:hAnsi="Cambria Math"/>
                  <w:lang w:val="en-US"/>
                </w:rPr>
                <m:t>c</m:t>
              </m:r>
            </m:num>
            <m:den>
              <m:rad>
                <m:radPr>
                  <m:degHide m:val="1"/>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ϵ</m:t>
                      </m:r>
                    </m:e>
                    <m:sub>
                      <m:r>
                        <w:rPr>
                          <w:rFonts w:ascii="Cambria Math" w:hAnsi="Cambria Math"/>
                          <w:lang w:val="en-US"/>
                        </w:rPr>
                        <m:t>r</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r</m:t>
                      </m:r>
                    </m:sub>
                  </m:sSub>
                </m:e>
              </m:rad>
            </m:den>
          </m:f>
        </m:oMath>
      </m:oMathPara>
    </w:p>
    <w:p w14:paraId="10C1E5A8" w14:textId="5A93F67C" w:rsidR="00E84478" w:rsidRPr="00E84478" w:rsidRDefault="00E84478" w:rsidP="006677AA">
      <w:pPr>
        <w:rPr>
          <w:lang w:val="en-US"/>
        </w:rPr>
      </w:pPr>
      <w:r>
        <w:rPr>
          <w:lang w:val="en-US"/>
        </w:rPr>
        <w:t xml:space="preserve">Where </w:t>
      </w:r>
      <m:oMath>
        <m:r>
          <w:rPr>
            <w:rFonts w:ascii="Cambria Math" w:hAnsi="Cambria Math"/>
            <w:lang w:val="en-US"/>
          </w:rPr>
          <m:t>c</m:t>
        </m:r>
      </m:oMath>
      <w:r>
        <w:rPr>
          <w:lang w:val="en-US"/>
        </w:rPr>
        <w:t xml:space="preserve">, </w:t>
      </w:r>
      <m:oMath>
        <m:sSub>
          <m:sSubPr>
            <m:ctrlPr>
              <w:rPr>
                <w:rFonts w:ascii="Cambria Math" w:hAnsi="Cambria Math"/>
                <w:i/>
                <w:lang w:val="en-US"/>
              </w:rPr>
            </m:ctrlPr>
          </m:sSubPr>
          <m:e>
            <m:r>
              <w:rPr>
                <w:rFonts w:ascii="Cambria Math" w:hAnsi="Cambria Math"/>
                <w:lang w:val="en-US"/>
              </w:rPr>
              <m:t>ϵ</m:t>
            </m:r>
          </m:e>
          <m:sub>
            <m:r>
              <w:rPr>
                <w:rFonts w:ascii="Cambria Math" w:hAnsi="Cambria Math"/>
                <w:lang w:val="en-US"/>
              </w:rPr>
              <m:t>r</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r</m:t>
            </m:r>
          </m:sub>
        </m:sSub>
      </m:oMath>
      <w:r>
        <w:rPr>
          <w:lang w:val="en-US"/>
        </w:rPr>
        <w:t xml:space="preserve"> are the speed of light, the relative permittivity of the material used in UE, and the relative</w:t>
      </w:r>
      <w:r w:rsidR="0099725E">
        <w:rPr>
          <w:lang w:val="en-US"/>
        </w:rPr>
        <w:t xml:space="preserve"> magnetic</w:t>
      </w:r>
      <w:r>
        <w:rPr>
          <w:lang w:val="en-US"/>
        </w:rPr>
        <w:t xml:space="preserve"> permeability of</w:t>
      </w:r>
      <w:r w:rsidR="0099725E">
        <w:rPr>
          <w:lang w:val="en-US"/>
        </w:rPr>
        <w:t xml:space="preserve"> the material used in UE. For typical materials used in UE (e.g., glass, PCB), the combined value of </w:t>
      </w:r>
      <m:oMath>
        <m:sSub>
          <m:sSubPr>
            <m:ctrlPr>
              <w:rPr>
                <w:rFonts w:ascii="Cambria Math" w:hAnsi="Cambria Math"/>
                <w:i/>
                <w:lang w:val="en-US"/>
              </w:rPr>
            </m:ctrlPr>
          </m:sSubPr>
          <m:e>
            <m:r>
              <w:rPr>
                <w:rFonts w:ascii="Cambria Math" w:hAnsi="Cambria Math"/>
                <w:lang w:val="en-US"/>
              </w:rPr>
              <m:t>ϵ</m:t>
            </m:r>
          </m:e>
          <m:sub>
            <m:r>
              <w:rPr>
                <w:rFonts w:ascii="Cambria Math" w:hAnsi="Cambria Math"/>
                <w:lang w:val="en-US"/>
              </w:rPr>
              <m:t>r</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r</m:t>
            </m:r>
          </m:sub>
        </m:sSub>
      </m:oMath>
      <w:r w:rsidR="0099725E">
        <w:rPr>
          <w:lang w:val="en-US"/>
        </w:rPr>
        <w:t xml:space="preserve"> is in the range of 5-9 which means the speed of electromagnetic wave is slowed down by approximately a factor of 2-3. For typical form factors used in Power Class 3 UEs, the time difference from antenna to baseband module can at most be 1ns which can be forgiven and considered as part of measurement uncertainty. However, for larger form factors and other power classes (e.g., tablets, laptops, …), this time difference can be significant and proper calibration is required to compensate for this delay. There are established calibration methods such as using a golden reference signal timing and comparing it with reported value by UE and adjusting for the difference. The reliability </w:t>
      </w:r>
      <w:r w:rsidR="009C020E">
        <w:rPr>
          <w:lang w:val="en-US"/>
        </w:rPr>
        <w:t xml:space="preserve">of these methods, and whether it is the responsibility of UE chipset maker or OEMs, is a different discussion that can be debated in testability. </w:t>
      </w:r>
    </w:p>
    <w:p w14:paraId="7985B6E4" w14:textId="6E4A78E1" w:rsidR="00504BB8" w:rsidRDefault="009C020E" w:rsidP="006677AA">
      <w:pPr>
        <w:rPr>
          <w:b/>
          <w:bCs/>
          <w:lang w:val="en-US"/>
        </w:rPr>
      </w:pPr>
      <w:r w:rsidRPr="009C020E">
        <w:rPr>
          <w:b/>
          <w:bCs/>
          <w:lang w:val="en-US"/>
        </w:rPr>
        <w:t>Observation 3. For typical form factors used in Power Class 3 UEs, the time difference from antenna to baseband module can at most be 1ns which can be forgiven and considered as part of measurement uncertainty. However, for larger form factors and other power classes (e.g., tablets, laptops, …), this time difference can be significant and proper calibration is required to compensate for this delay.</w:t>
      </w:r>
    </w:p>
    <w:p w14:paraId="3A0C54BD" w14:textId="0BFCF0CC" w:rsidR="009C020E" w:rsidRPr="009C020E" w:rsidRDefault="009C020E" w:rsidP="006677AA">
      <w:pPr>
        <w:rPr>
          <w:b/>
          <w:bCs/>
          <w:lang w:val="en-US"/>
        </w:rPr>
      </w:pPr>
      <w:r w:rsidRPr="009C020E">
        <w:rPr>
          <w:b/>
          <w:bCs/>
          <w:lang w:val="en-US"/>
        </w:rPr>
        <w:t xml:space="preserve">Observation 4. There are established calibration methods such as using a golden reference signal timing and comparing it with reported value by UE and adjusting for the difference. The reliability of these methods, and whether it is the responsibility of UE chipset maker or OEMs, is a different discussion that can be debated in testability. </w:t>
      </w:r>
    </w:p>
    <w:p w14:paraId="6CF7FA1C" w14:textId="45A391DA" w:rsidR="00C440CE" w:rsidRDefault="009C020E" w:rsidP="006677AA">
      <w:pPr>
        <w:rPr>
          <w:lang w:val="en-US"/>
        </w:rPr>
      </w:pPr>
      <w:r>
        <w:rPr>
          <w:lang w:val="en-US"/>
        </w:rPr>
        <w:t>I</w:t>
      </w:r>
      <w:r w:rsidR="009E77DA">
        <w:rPr>
          <w:lang w:val="en-US"/>
        </w:rPr>
        <w:t>t is reiterated again that discussions related to calibration issues to account for group delay from antenna to baseband module and the impact of beamforming on the delay profile and TOA estimation are all separate discussions that should be decoupled from the definition of the reference point for timing measurements. They can be accounted when defining timing measurement accuracy requirements.</w:t>
      </w:r>
    </w:p>
    <w:p w14:paraId="719E8222" w14:textId="33502CEF" w:rsidR="009E77DA" w:rsidRDefault="009E77DA" w:rsidP="006677AA">
      <w:pPr>
        <w:rPr>
          <w:b/>
          <w:bCs/>
          <w:lang w:val="en-US"/>
        </w:rPr>
      </w:pPr>
      <w:r w:rsidRPr="009E77DA">
        <w:rPr>
          <w:b/>
          <w:bCs/>
          <w:lang w:val="en-US"/>
        </w:rPr>
        <w:t xml:space="preserve">Observation </w:t>
      </w:r>
      <w:r w:rsidR="009C020E">
        <w:rPr>
          <w:b/>
          <w:bCs/>
          <w:lang w:val="en-US"/>
        </w:rPr>
        <w:t>5</w:t>
      </w:r>
      <w:r w:rsidRPr="009E77DA">
        <w:rPr>
          <w:b/>
          <w:bCs/>
          <w:lang w:val="en-US"/>
        </w:rPr>
        <w:t>. Issues like calibration to account for group delay and the impact of beamforming on the delay profile and TOA estimation are separate discussions that should be decoupled from the definition of the reference point for timing measurements. They can be accounted when defining timing measurement accuracy requirements.</w:t>
      </w:r>
    </w:p>
    <w:p w14:paraId="25D892E2" w14:textId="78CCB475" w:rsidR="009C020E" w:rsidRDefault="007E07EB" w:rsidP="006677AA">
      <w:pPr>
        <w:rPr>
          <w:lang w:val="en-US"/>
        </w:rPr>
      </w:pPr>
      <w:r>
        <w:rPr>
          <w:lang w:val="en-US"/>
        </w:rPr>
        <w:t>From the testability perspective, defining the reference point at UE antenna (rather than baseband) has the advantage of being able to set the reference timing measurement accurately in the test chamber as the reference point is accessible. Using the UE baseband as the reference point inevitably results in having to allow an uncertainty in the reported measurement value which can depend on beamforming and form factor of UE. In our view, this can lead up to another lengthy discussion on the budget that needs to be built in testing of the timing measurements similar to what occurred in FR2 for RSRP/RSRQ/SINR.</w:t>
      </w:r>
    </w:p>
    <w:p w14:paraId="6033D511" w14:textId="536797E5" w:rsidR="007E07EB" w:rsidRPr="007E07EB" w:rsidRDefault="007E07EB" w:rsidP="006677AA">
      <w:pPr>
        <w:rPr>
          <w:b/>
          <w:bCs/>
          <w:lang w:val="en-US"/>
        </w:rPr>
      </w:pPr>
      <w:r w:rsidRPr="007E07EB">
        <w:rPr>
          <w:b/>
          <w:bCs/>
          <w:lang w:val="en-US"/>
        </w:rPr>
        <w:t>Observation 6. From the testability perspective, defining the reference point at UE antenna (rather than baseband) has the advantage of being able to set the reference timing measurement accurately in the test chamber as the reference point is accessible.</w:t>
      </w:r>
    </w:p>
    <w:p w14:paraId="15007A9B" w14:textId="79A3D38E" w:rsidR="009E77DA" w:rsidRDefault="009E77DA" w:rsidP="006677AA">
      <w:pPr>
        <w:rPr>
          <w:lang w:val="en-US"/>
        </w:rPr>
      </w:pPr>
      <w:r>
        <w:rPr>
          <w:lang w:val="en-US"/>
        </w:rPr>
        <w:t xml:space="preserve">Considering the above discussion points, we reiterate our proposal </w:t>
      </w:r>
      <w:r w:rsidR="00F36EB7">
        <w:rPr>
          <w:lang w:val="en-US"/>
        </w:rPr>
        <w:t xml:space="preserve">from [3] </w:t>
      </w:r>
      <w:r>
        <w:rPr>
          <w:lang w:val="en-US"/>
        </w:rPr>
        <w:t xml:space="preserve">while also acknowledging the point raised in [4] that </w:t>
      </w:r>
      <w:r w:rsidR="00F36EB7">
        <w:rPr>
          <w:lang w:val="en-US"/>
        </w:rPr>
        <w:t>the Tx antenna shall be defined as the reference point for Tx timing measurements.</w:t>
      </w:r>
    </w:p>
    <w:p w14:paraId="03209065" w14:textId="0059730C" w:rsidR="00F36EB7" w:rsidRDefault="00F36EB7" w:rsidP="00F36EB7">
      <w:pPr>
        <w:rPr>
          <w:b/>
          <w:bCs/>
          <w:lang w:val="en-US"/>
        </w:rPr>
      </w:pPr>
      <w:r w:rsidRPr="003C484A">
        <w:rPr>
          <w:b/>
          <w:bCs/>
          <w:lang w:val="en-US"/>
        </w:rPr>
        <w:t xml:space="preserve">Proposal 1. Reference point for the </w:t>
      </w:r>
      <w:r>
        <w:rPr>
          <w:b/>
          <w:bCs/>
          <w:lang w:val="en-US"/>
        </w:rPr>
        <w:t>UE Rx timing related</w:t>
      </w:r>
      <w:r w:rsidRPr="003C484A">
        <w:rPr>
          <w:b/>
          <w:bCs/>
          <w:lang w:val="en-US"/>
        </w:rPr>
        <w:t xml:space="preserve"> measurements to be UE Rx antenna. Reference point for the </w:t>
      </w:r>
      <w:r>
        <w:rPr>
          <w:b/>
          <w:bCs/>
          <w:lang w:val="en-US"/>
        </w:rPr>
        <w:t>UE Tx timing related</w:t>
      </w:r>
      <w:r w:rsidRPr="003C484A">
        <w:rPr>
          <w:b/>
          <w:bCs/>
          <w:lang w:val="en-US"/>
        </w:rPr>
        <w:t xml:space="preserve"> measurements to be UE </w:t>
      </w:r>
      <w:r>
        <w:rPr>
          <w:b/>
          <w:bCs/>
          <w:lang w:val="en-US"/>
        </w:rPr>
        <w:t>T</w:t>
      </w:r>
      <w:r w:rsidRPr="003C484A">
        <w:rPr>
          <w:b/>
          <w:bCs/>
          <w:lang w:val="en-US"/>
        </w:rPr>
        <w:t xml:space="preserve">x antenna. </w:t>
      </w:r>
    </w:p>
    <w:p w14:paraId="530805C1" w14:textId="1A74D5D8" w:rsidR="0005179F" w:rsidRPr="00F36EB7" w:rsidRDefault="00F36EB7" w:rsidP="00F36EB7">
      <w:pPr>
        <w:pStyle w:val="Heading1"/>
        <w:rPr>
          <w:lang w:val="en-US"/>
        </w:rPr>
      </w:pPr>
      <w:r>
        <w:rPr>
          <w:lang w:val="en-US"/>
        </w:rPr>
        <w:t>Conclusion</w:t>
      </w:r>
    </w:p>
    <w:p w14:paraId="6773CDE0" w14:textId="77777777" w:rsidR="00F36EB7" w:rsidRPr="00504BB8" w:rsidRDefault="00F36EB7" w:rsidP="00F36EB7">
      <w:pPr>
        <w:rPr>
          <w:b/>
          <w:bCs/>
          <w:lang w:val="en-US"/>
        </w:rPr>
      </w:pPr>
      <w:r w:rsidRPr="00504BB8">
        <w:rPr>
          <w:b/>
          <w:bCs/>
          <w:lang w:val="en-US"/>
        </w:rPr>
        <w:t xml:space="preserve">Observation 1. RSRP/RSRQ/SINR measurements are subjective measurements that should reflect the UE implementation realities such as antenna gain, number of antenna elements, or beamforming.  </w:t>
      </w:r>
    </w:p>
    <w:p w14:paraId="48470411" w14:textId="50576506" w:rsidR="00F36EB7" w:rsidRDefault="00F36EB7" w:rsidP="00F36EB7">
      <w:pPr>
        <w:rPr>
          <w:b/>
          <w:bCs/>
          <w:lang w:val="en-US"/>
        </w:rPr>
      </w:pPr>
      <w:r w:rsidRPr="00504BB8">
        <w:rPr>
          <w:b/>
          <w:bCs/>
          <w:lang w:val="en-US"/>
        </w:rPr>
        <w:t xml:space="preserve">Observation 2. Timing measurements are objective measurements and should not depend on the UE implementation aspects. Two UE’s with different antenna or beamforming gains should ideally report identical timing measurements if placed in the same position with respect to gNB(s). </w:t>
      </w:r>
    </w:p>
    <w:p w14:paraId="6DB60A41" w14:textId="77777777" w:rsidR="007E07EB" w:rsidRDefault="007E07EB" w:rsidP="007E07EB">
      <w:pPr>
        <w:rPr>
          <w:b/>
          <w:bCs/>
          <w:lang w:val="en-US"/>
        </w:rPr>
      </w:pPr>
      <w:r w:rsidRPr="009C020E">
        <w:rPr>
          <w:b/>
          <w:bCs/>
          <w:lang w:val="en-US"/>
        </w:rPr>
        <w:t xml:space="preserve">Observation 3. For typical form factors used in Power Class 3 UEs, the time difference from antenna to baseband module can at most be 1ns which can be forgiven and considered as part of measurement uncertainty. </w:t>
      </w:r>
      <w:r w:rsidRPr="009C020E">
        <w:rPr>
          <w:b/>
          <w:bCs/>
          <w:lang w:val="en-US"/>
        </w:rPr>
        <w:lastRenderedPageBreak/>
        <w:t>However, for larger form factors and other power classes (e.g., tablets, laptops, …), this time difference can be significant and proper calibration is required to compensate for this delay.</w:t>
      </w:r>
    </w:p>
    <w:p w14:paraId="43CB6A33" w14:textId="5070D665" w:rsidR="007E07EB" w:rsidRDefault="007E07EB" w:rsidP="00F36EB7">
      <w:pPr>
        <w:rPr>
          <w:b/>
          <w:bCs/>
          <w:lang w:val="en-US"/>
        </w:rPr>
      </w:pPr>
      <w:r w:rsidRPr="009C020E">
        <w:rPr>
          <w:b/>
          <w:bCs/>
          <w:lang w:val="en-US"/>
        </w:rPr>
        <w:t xml:space="preserve">Observation 4. There are established calibration methods such as using a golden reference signal timing and comparing it with reported value by UE and adjusting for the difference. The reliability of these methods, and whether it is the responsibility of UE chipset maker or OEMs, is a different discussion that can be debated in testability. </w:t>
      </w:r>
    </w:p>
    <w:p w14:paraId="4095EA74" w14:textId="3E4F2DCD" w:rsidR="00F36EB7" w:rsidRDefault="00F36EB7" w:rsidP="00F36EB7">
      <w:pPr>
        <w:rPr>
          <w:b/>
          <w:bCs/>
          <w:lang w:val="en-US"/>
        </w:rPr>
      </w:pPr>
      <w:r w:rsidRPr="009E77DA">
        <w:rPr>
          <w:b/>
          <w:bCs/>
          <w:lang w:val="en-US"/>
        </w:rPr>
        <w:t xml:space="preserve">Observation </w:t>
      </w:r>
      <w:r w:rsidR="007E07EB">
        <w:rPr>
          <w:b/>
          <w:bCs/>
          <w:lang w:val="en-US"/>
        </w:rPr>
        <w:t>5</w:t>
      </w:r>
      <w:r w:rsidRPr="009E77DA">
        <w:rPr>
          <w:b/>
          <w:bCs/>
          <w:lang w:val="en-US"/>
        </w:rPr>
        <w:t>. Issues like calibration to account for group delay and the impact of beamforming on the delay profile and TOA estimation are separate discussions that should be decoupled from the definition of the reference point for timing measurements. They can be accounted when defining timing measurement accuracy requirements.</w:t>
      </w:r>
    </w:p>
    <w:p w14:paraId="7E9CDDF9" w14:textId="0C7DBE27" w:rsidR="007E07EB" w:rsidRDefault="007E07EB" w:rsidP="00F36EB7">
      <w:pPr>
        <w:rPr>
          <w:b/>
          <w:bCs/>
          <w:lang w:val="en-US"/>
        </w:rPr>
      </w:pPr>
      <w:r w:rsidRPr="007E07EB">
        <w:rPr>
          <w:b/>
          <w:bCs/>
          <w:lang w:val="en-US"/>
        </w:rPr>
        <w:t>Observation 6. From the testability perspective, defining the reference point at UE antenna (rather than baseband) has the advantage of being able to set the reference timing measurement accurately in the test chamber as the reference point is accessible.</w:t>
      </w:r>
    </w:p>
    <w:p w14:paraId="4B7C0144" w14:textId="5A69F8DD" w:rsidR="00804DAC" w:rsidRPr="00F36EB7" w:rsidRDefault="00F36EB7" w:rsidP="00804DAC">
      <w:pPr>
        <w:rPr>
          <w:b/>
          <w:bCs/>
          <w:lang w:val="en-US"/>
        </w:rPr>
      </w:pPr>
      <w:r w:rsidRPr="003C484A">
        <w:rPr>
          <w:b/>
          <w:bCs/>
          <w:lang w:val="en-US"/>
        </w:rPr>
        <w:t xml:space="preserve">Proposal 1. Reference point for the </w:t>
      </w:r>
      <w:r>
        <w:rPr>
          <w:b/>
          <w:bCs/>
          <w:lang w:val="en-US"/>
        </w:rPr>
        <w:t>UE Rx timing related</w:t>
      </w:r>
      <w:r w:rsidRPr="003C484A">
        <w:rPr>
          <w:b/>
          <w:bCs/>
          <w:lang w:val="en-US"/>
        </w:rPr>
        <w:t xml:space="preserve"> measurements to be UE Rx antenna. Reference point for the </w:t>
      </w:r>
      <w:r>
        <w:rPr>
          <w:b/>
          <w:bCs/>
          <w:lang w:val="en-US"/>
        </w:rPr>
        <w:t>UE Tx timing related</w:t>
      </w:r>
      <w:r w:rsidRPr="003C484A">
        <w:rPr>
          <w:b/>
          <w:bCs/>
          <w:lang w:val="en-US"/>
        </w:rPr>
        <w:t xml:space="preserve"> measurements to be UE </w:t>
      </w:r>
      <w:r>
        <w:rPr>
          <w:b/>
          <w:bCs/>
          <w:lang w:val="en-US"/>
        </w:rPr>
        <w:t>T</w:t>
      </w:r>
      <w:r w:rsidRPr="003C484A">
        <w:rPr>
          <w:b/>
          <w:bCs/>
          <w:lang w:val="en-US"/>
        </w:rPr>
        <w:t xml:space="preserve">x antenna. </w:t>
      </w:r>
    </w:p>
    <w:p w14:paraId="0C633F9D" w14:textId="77777777" w:rsidR="00797CE5" w:rsidRDefault="00797CE5" w:rsidP="006050F7">
      <w:pPr>
        <w:pStyle w:val="Heading1"/>
        <w:numPr>
          <w:ilvl w:val="0"/>
          <w:numId w:val="0"/>
        </w:numPr>
        <w:rPr>
          <w:lang w:val="en-US"/>
        </w:rPr>
      </w:pPr>
      <w:r>
        <w:rPr>
          <w:lang w:val="en-US"/>
        </w:rPr>
        <w:t>References</w:t>
      </w:r>
    </w:p>
    <w:p w14:paraId="7B142946" w14:textId="2708E933" w:rsidR="00BF31AD" w:rsidRDefault="008F7AB6" w:rsidP="00797CE5">
      <w:pPr>
        <w:rPr>
          <w:lang w:val="en-US"/>
        </w:rPr>
      </w:pPr>
      <w:r>
        <w:rPr>
          <w:lang w:val="en-US"/>
        </w:rPr>
        <w:t>[1] R1-1907869</w:t>
      </w:r>
    </w:p>
    <w:p w14:paraId="1BE70A45" w14:textId="70057ACC" w:rsidR="006677AA" w:rsidRDefault="006677AA" w:rsidP="00797CE5">
      <w:pPr>
        <w:rPr>
          <w:lang w:val="en-US"/>
        </w:rPr>
      </w:pPr>
      <w:r>
        <w:rPr>
          <w:lang w:val="en-US"/>
        </w:rPr>
        <w:t>[2] R4-191xxxx</w:t>
      </w:r>
    </w:p>
    <w:p w14:paraId="1D44E211" w14:textId="5DB0539A" w:rsidR="006E4744" w:rsidRDefault="006E4744" w:rsidP="00797CE5">
      <w:pPr>
        <w:rPr>
          <w:lang w:val="en-US"/>
        </w:rPr>
      </w:pPr>
      <w:r>
        <w:rPr>
          <w:lang w:val="en-US"/>
        </w:rPr>
        <w:t>[3] R4-1908491</w:t>
      </w:r>
    </w:p>
    <w:p w14:paraId="0258F0B1" w14:textId="7646121D" w:rsidR="006E4744" w:rsidRDefault="006E4744" w:rsidP="00797CE5">
      <w:pPr>
        <w:rPr>
          <w:lang w:val="en-US"/>
        </w:rPr>
      </w:pPr>
      <w:r>
        <w:rPr>
          <w:lang w:val="en-US"/>
        </w:rPr>
        <w:t>[4] R4-1908384</w:t>
      </w:r>
    </w:p>
    <w:p w14:paraId="38A15E03" w14:textId="05D48556" w:rsidR="00B66DBC" w:rsidRDefault="00B66DBC" w:rsidP="00797CE5">
      <w:pPr>
        <w:rPr>
          <w:lang w:val="en-US"/>
        </w:rPr>
      </w:pPr>
    </w:p>
    <w:sectPr w:rsidR="00B66DBC"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1B691" w14:textId="77777777" w:rsidR="0086037E" w:rsidRDefault="0086037E">
      <w:r>
        <w:separator/>
      </w:r>
    </w:p>
  </w:endnote>
  <w:endnote w:type="continuationSeparator" w:id="0">
    <w:p w14:paraId="12FAF7EF" w14:textId="77777777" w:rsidR="0086037E" w:rsidRDefault="0086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64DEF" w14:textId="77777777" w:rsidR="0086037E" w:rsidRDefault="0086037E">
      <w:r>
        <w:separator/>
      </w:r>
    </w:p>
  </w:footnote>
  <w:footnote w:type="continuationSeparator" w:id="0">
    <w:p w14:paraId="035AC5BD" w14:textId="77777777" w:rsidR="0086037E" w:rsidRDefault="008603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B27488"/>
    <w:multiLevelType w:val="hybridMultilevel"/>
    <w:tmpl w:val="B9267A0C"/>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0"/>
  </w:num>
  <w:num w:numId="3">
    <w:abstractNumId w:val="32"/>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2"/>
  </w:num>
  <w:num w:numId="10">
    <w:abstractNumId w:val="5"/>
  </w:num>
  <w:num w:numId="11">
    <w:abstractNumId w:val="19"/>
  </w:num>
  <w:num w:numId="12">
    <w:abstractNumId w:val="8"/>
  </w:num>
  <w:num w:numId="13">
    <w:abstractNumId w:val="18"/>
  </w:num>
  <w:num w:numId="14">
    <w:abstractNumId w:val="2"/>
  </w:num>
  <w:num w:numId="15">
    <w:abstractNumId w:val="34"/>
  </w:num>
  <w:num w:numId="16">
    <w:abstractNumId w:val="26"/>
  </w:num>
  <w:num w:numId="17">
    <w:abstractNumId w:val="11"/>
  </w:num>
  <w:num w:numId="18">
    <w:abstractNumId w:val="33"/>
  </w:num>
  <w:num w:numId="19">
    <w:abstractNumId w:val="25"/>
  </w:num>
  <w:num w:numId="20">
    <w:abstractNumId w:val="17"/>
  </w:num>
  <w:num w:numId="21">
    <w:abstractNumId w:val="27"/>
  </w:num>
  <w:num w:numId="22">
    <w:abstractNumId w:val="24"/>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8"/>
  </w:num>
  <w:num w:numId="26">
    <w:abstractNumId w:val="31"/>
  </w:num>
  <w:num w:numId="27">
    <w:abstractNumId w:val="7"/>
  </w:num>
  <w:num w:numId="28">
    <w:abstractNumId w:val="29"/>
  </w:num>
  <w:num w:numId="29">
    <w:abstractNumId w:val="20"/>
  </w:num>
  <w:num w:numId="30">
    <w:abstractNumId w:val="16"/>
  </w:num>
  <w:num w:numId="31">
    <w:abstractNumId w:val="23"/>
  </w:num>
  <w:num w:numId="32">
    <w:abstractNumId w:val="12"/>
  </w:num>
  <w:num w:numId="33">
    <w:abstractNumId w:val="3"/>
  </w:num>
  <w:num w:numId="34">
    <w:abstractNumId w:val="15"/>
  </w:num>
  <w:num w:numId="35">
    <w:abstractNumId w:val="4"/>
  </w:num>
  <w:num w:numId="3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5CB"/>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A01"/>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4F7B"/>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721"/>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156"/>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BB8"/>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E22"/>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16"/>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7AA"/>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585"/>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744"/>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7EB"/>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4A65"/>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37E"/>
    <w:rsid w:val="00860553"/>
    <w:rsid w:val="00860689"/>
    <w:rsid w:val="00860C4C"/>
    <w:rsid w:val="00860C7A"/>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AB6"/>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038"/>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060"/>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25E"/>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20E"/>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E77DA"/>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DBC"/>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0CE"/>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2A4"/>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478"/>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B7"/>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1B9C"/>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3GPPNormalTextChar">
    <w:name w:val="3GPP Normal Text Char"/>
    <w:link w:val="3GPPNormalText"/>
    <w:qFormat/>
    <w:locked/>
    <w:rsid w:val="008F7AB6"/>
    <w:rPr>
      <w:rFonts w:ascii="Times New Roman" w:hAnsi="Times New Roman"/>
      <w:szCs w:val="24"/>
      <w:lang w:val="en-GB" w:eastAsia="ja-JP"/>
    </w:rPr>
  </w:style>
  <w:style w:type="paragraph" w:customStyle="1" w:styleId="3GPPNormalText">
    <w:name w:val="3GPP Normal Text"/>
    <w:basedOn w:val="BodyText"/>
    <w:link w:val="3GPPNormalTextChar"/>
    <w:qFormat/>
    <w:rsid w:val="008F7AB6"/>
    <w:pPr>
      <w:widowControl/>
      <w:spacing w:line="276" w:lineRule="auto"/>
      <w:jc w:val="both"/>
    </w:pPr>
    <w:rPr>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553A7-BA4B-4E89-997D-F87E1841C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TotalTime>
  <Pages>3</Pages>
  <Words>1364</Words>
  <Characters>7357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5</cp:revision>
  <cp:lastPrinted>2009-04-22T21:01:00Z</cp:lastPrinted>
  <dcterms:created xsi:type="dcterms:W3CDTF">2019-10-28T15:26:00Z</dcterms:created>
  <dcterms:modified xsi:type="dcterms:W3CDTF">2019-11-08T21:36:00Z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